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59F91">
      <w:pPr>
        <w:shd w:val="clear" w:color="auto" w:fill="auto"/>
        <w:spacing w:line="240" w:lineRule="auto"/>
        <w:rPr>
          <w:rFonts w:ascii="黑体" w:hAnsi="宋体" w:eastAsia="黑体"/>
          <w:sz w:val="32"/>
          <w:szCs w:val="32"/>
          <w:highlight w:val="none"/>
        </w:rPr>
      </w:pPr>
      <w:r>
        <w:rPr>
          <w:rFonts w:hint="eastAsia" w:ascii="黑体" w:hAnsi="宋体" w:eastAsia="黑体"/>
          <w:bCs/>
          <w:sz w:val="32"/>
          <w:szCs w:val="32"/>
          <w:highlight w:val="none"/>
        </w:rPr>
        <w:t>附件</w:t>
      </w:r>
      <w:r>
        <w:rPr>
          <w:rFonts w:ascii="黑体" w:hAnsi="宋体" w:eastAsia="黑体"/>
          <w:bCs/>
          <w:sz w:val="32"/>
          <w:szCs w:val="32"/>
          <w:highlight w:val="none"/>
        </w:rPr>
        <w:t>1</w:t>
      </w:r>
    </w:p>
    <w:p w14:paraId="44BA7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2" w:name="_GoBack"/>
    </w:p>
    <w:p w14:paraId="526E1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全国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免疫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规划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青年人才托举项目</w:t>
      </w:r>
    </w:p>
    <w:p w14:paraId="765F8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实施方案</w:t>
      </w:r>
    </w:p>
    <w:bookmarkEnd w:id="2"/>
    <w:p w14:paraId="49EAD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</w:rPr>
      </w:pPr>
    </w:p>
    <w:p w14:paraId="7AEE4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一、背景意义</w:t>
      </w:r>
    </w:p>
    <w:p w14:paraId="57C63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疫苗是预防和控制传染病最经济、最有效的手段，是国家公共卫生安全的重要屏障。当前，我国免疫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预防</w:t>
      </w:r>
      <w:r>
        <w:rPr>
          <w:rFonts w:hint="eastAsia" w:ascii="仿宋" w:hAnsi="仿宋" w:eastAsia="仿宋" w:cs="仿宋"/>
          <w:sz w:val="32"/>
          <w:szCs w:val="32"/>
        </w:rPr>
        <w:t>事业正处于高质量发展的关键时期，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且</w:t>
      </w:r>
      <w:r>
        <w:rPr>
          <w:rFonts w:hint="eastAsia" w:ascii="仿宋" w:hAnsi="仿宋" w:eastAsia="仿宋" w:cs="仿宋"/>
          <w:sz w:val="32"/>
          <w:szCs w:val="32"/>
        </w:rPr>
        <w:t>面临着新发突发传染病威胁、疫苗可预防疾病谱变化、公众健康需求日益增长、“疫苗犹豫”现象广泛存在等多重挑战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结合当前形势，</w:t>
      </w:r>
      <w:r>
        <w:rPr>
          <w:rFonts w:hint="eastAsia" w:ascii="仿宋" w:hAnsi="仿宋" w:eastAsia="仿宋" w:cs="仿宋"/>
          <w:sz w:val="32"/>
          <w:szCs w:val="32"/>
        </w:rPr>
        <w:t>迫切需要一批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政治素养高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业务能力强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具备</w:t>
      </w:r>
      <w:r>
        <w:rPr>
          <w:rFonts w:hint="eastAsia" w:ascii="仿宋" w:hAnsi="仿宋" w:eastAsia="仿宋" w:cs="仿宋"/>
          <w:sz w:val="32"/>
          <w:szCs w:val="32"/>
        </w:rPr>
        <w:t>战略思维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科研创新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能力</w:t>
      </w:r>
      <w:r>
        <w:rPr>
          <w:rFonts w:hint="eastAsia" w:ascii="仿宋" w:hAnsi="仿宋" w:eastAsia="仿宋" w:cs="仿宋"/>
          <w:sz w:val="32"/>
          <w:szCs w:val="32"/>
        </w:rPr>
        <w:t>的防治管复合型免疫规划人才，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</w:rPr>
        <w:t>提升全国免疫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预防</w:t>
      </w:r>
      <w:r>
        <w:rPr>
          <w:rFonts w:hint="eastAsia" w:ascii="仿宋" w:hAnsi="仿宋" w:eastAsia="仿宋" w:cs="仿宋"/>
          <w:sz w:val="32"/>
          <w:szCs w:val="32"/>
        </w:rPr>
        <w:t>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整体</w:t>
      </w:r>
      <w:r>
        <w:rPr>
          <w:rFonts w:hint="eastAsia" w:ascii="仿宋" w:hAnsi="仿宋" w:eastAsia="仿宋" w:cs="仿宋"/>
          <w:sz w:val="32"/>
          <w:szCs w:val="32"/>
        </w:rPr>
        <w:t>水平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为我国公共卫生事业</w:t>
      </w:r>
      <w:r>
        <w:rPr>
          <w:rFonts w:hint="eastAsia" w:ascii="仿宋" w:hAnsi="仿宋" w:eastAsia="仿宋" w:cs="仿宋"/>
          <w:sz w:val="32"/>
          <w:szCs w:val="32"/>
        </w:rPr>
        <w:t>提供人才助力和保障。</w:t>
      </w:r>
    </w:p>
    <w:p w14:paraId="48BFB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二、项目目标</w:t>
      </w:r>
    </w:p>
    <w:p w14:paraId="391B2A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 xml:space="preserve">（一）总体目标 </w:t>
      </w:r>
    </w:p>
    <w:p w14:paraId="4BFFF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对标《关于推动疾病预防控制事业高质量发展发展的指导意见》提出的到2030年的疾控体系建设目标，聚焦省级免疫规划人才培养需求，通过系统化培养打造一支覆盖全国、水平一流、富有活力的青年人才梯队，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提升我国免疫规划核心能力，促进提升全国疫苗免疫服务均等化水平和国际影响力。</w:t>
      </w:r>
    </w:p>
    <w:p w14:paraId="2ABB8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（二）具体目标</w:t>
      </w:r>
    </w:p>
    <w:p w14:paraId="34165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培养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90余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名（每期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不超过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名，共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期）具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备国际视野、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科研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创新能力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战略思维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且专业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功底扎实、素质优良、爱岗敬业的青年骨干。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全面提升其在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政策理论、策略规划、疫苗免疫核心技能、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项目管理、疫情调查处置、科研设计和实施等方面的综合能力。</w:t>
      </w:r>
    </w:p>
    <w:p w14:paraId="610F6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2.构建高层次的全国性青年专家协作网络，促进跨地域、多学科的学术交流与业务合作。</w:t>
      </w:r>
    </w:p>
    <w:p w14:paraId="46163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3.产出一批高质量科研成果、政策建议和免疫规划创新工作方案，推动创新成果更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好地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服务于各地免疫规划实践。</w:t>
      </w:r>
    </w:p>
    <w:p w14:paraId="12CD2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项目安排</w:t>
      </w:r>
    </w:p>
    <w:p w14:paraId="7A6938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（一）总周期</w:t>
      </w:r>
      <w:r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共计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年，每年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期，共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期。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项目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模式：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集中面授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及机构参访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（三）面授安排（每期）：</w:t>
      </w:r>
    </w:p>
    <w:p w14:paraId="075E8F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频次：每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年举行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次集中授课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每次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天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00F0F4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暂定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北京、上海、昆明等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（四）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机构参访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实地参访国家疾病预防控制局、中国疾病预防控制中心等党政机关；拥有高水平公共卫生学院的高校及科研院所；</w:t>
      </w:r>
      <w:bookmarkStart w:id="0" w:name="OLE_LINK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高水平医防融合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建设医院、疾控体系创新发展疾控中心及特色预防接种门诊等医疗卫生机构；疫苗生产与研发高新技术企业等，涉及北京、重庆、江苏、云南及山东等省份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 w14:paraId="43484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四、学员遴选</w:t>
      </w:r>
    </w:p>
    <w:p w14:paraId="6491E1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遴选范围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省级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疾病预防控制中心</w:t>
      </w:r>
      <w:r>
        <w:rPr>
          <w:rFonts w:hint="eastAsia" w:ascii="仿宋" w:hAnsi="仿宋" w:eastAsia="仿宋" w:cs="仿宋"/>
          <w:sz w:val="32"/>
          <w:szCs w:val="32"/>
        </w:rPr>
        <w:t>从事疫苗免疫规划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>工作的专业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技术</w:t>
      </w:r>
      <w:r>
        <w:rPr>
          <w:rFonts w:hint="eastAsia" w:ascii="仿宋" w:hAnsi="仿宋" w:eastAsia="仿宋" w:cs="仿宋"/>
          <w:sz w:val="32"/>
          <w:szCs w:val="32"/>
        </w:rPr>
        <w:t>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，每省</w:t>
      </w:r>
      <w:r>
        <w:rPr>
          <w:rFonts w:hint="eastAsia" w:ascii="仿宋" w:hAnsi="仿宋" w:eastAsia="仿宋" w:cs="仿宋"/>
          <w:sz w:val="32"/>
          <w:szCs w:val="32"/>
        </w:rPr>
        <w:t>推荐1-2名候选人。</w:t>
      </w:r>
    </w:p>
    <w:p w14:paraId="44772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遴选标准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</w:p>
    <w:p w14:paraId="7A891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基本条件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热爱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国公共卫生事业</w:t>
      </w:r>
      <w:r>
        <w:rPr>
          <w:rFonts w:hint="eastAsia" w:ascii="仿宋" w:hAnsi="仿宋" w:eastAsia="仿宋" w:cs="仿宋"/>
          <w:sz w:val="32"/>
          <w:szCs w:val="32"/>
        </w:rPr>
        <w:t>，恪守科学道德，具有强烈的事业心和责任感。</w:t>
      </w:r>
    </w:p>
    <w:p w14:paraId="57BB8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年龄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 w:cs="仿宋"/>
          <w:sz w:val="32"/>
          <w:szCs w:val="32"/>
        </w:rPr>
        <w:t>资历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年龄原则上不超过35周岁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1991年1月1日以后出生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在省级疾病预防控制中心从事疫苗与免疫相关工作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年以上。</w:t>
      </w:r>
    </w:p>
    <w:p w14:paraId="26CB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专业能力：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具有</w:t>
      </w:r>
      <w:r>
        <w:rPr>
          <w:rFonts w:hint="eastAsia" w:ascii="仿宋" w:hAnsi="仿宋" w:eastAsia="仿宋" w:cs="仿宋"/>
          <w:sz w:val="32"/>
          <w:szCs w:val="32"/>
        </w:rPr>
        <w:t>扎实的免疫预防或相关专业基础，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</w:t>
      </w:r>
      <w:r>
        <w:rPr>
          <w:rFonts w:hint="eastAsia" w:ascii="仿宋" w:hAnsi="仿宋" w:eastAsia="仿宋" w:cs="仿宋"/>
          <w:sz w:val="32"/>
          <w:szCs w:val="32"/>
        </w:rPr>
        <w:t>展现出优秀的业务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能力</w:t>
      </w:r>
      <w:r>
        <w:rPr>
          <w:rFonts w:hint="eastAsia" w:ascii="仿宋" w:hAnsi="仿宋" w:eastAsia="仿宋" w:cs="仿宋"/>
          <w:sz w:val="32"/>
          <w:szCs w:val="32"/>
        </w:rPr>
        <w:t>和实践能力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表现出卓越的管理、领导和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科研</w:t>
      </w:r>
      <w:r>
        <w:rPr>
          <w:rFonts w:hint="eastAsia" w:ascii="仿宋" w:hAnsi="仿宋" w:eastAsia="仿宋" w:cs="仿宋"/>
          <w:sz w:val="32"/>
          <w:szCs w:val="32"/>
        </w:rPr>
        <w:t>创新潜能，是本单位重点培养的青年骨干。</w:t>
      </w:r>
    </w:p>
    <w:p w14:paraId="08B94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推荐程序：采取个人申请、单位推荐、专家组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考核</w:t>
      </w:r>
      <w:r>
        <w:rPr>
          <w:rFonts w:hint="eastAsia" w:ascii="仿宋" w:hAnsi="仿宋" w:eastAsia="仿宋" w:cs="仿宋"/>
          <w:sz w:val="32"/>
          <w:szCs w:val="32"/>
        </w:rPr>
        <w:t>的流程，确保遴选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过程</w:t>
      </w:r>
      <w:r>
        <w:rPr>
          <w:rFonts w:hint="eastAsia" w:ascii="仿宋" w:hAnsi="仿宋" w:eastAsia="仿宋" w:cs="仿宋"/>
          <w:sz w:val="32"/>
          <w:szCs w:val="32"/>
        </w:rPr>
        <w:t>公平、公正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公开。</w:t>
      </w:r>
    </w:p>
    <w:p w14:paraId="36821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面授</w:t>
      </w:r>
      <w:r>
        <w:rPr>
          <w:rFonts w:hint="eastAsia" w:ascii="黑体" w:hAnsi="黑体" w:eastAsia="黑体" w:cs="黑体"/>
          <w:sz w:val="32"/>
          <w:szCs w:val="32"/>
        </w:rPr>
        <w:t>课程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安排</w:t>
      </w:r>
    </w:p>
    <w:p w14:paraId="20A4B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课程体系设计遵循“厚基础、强能力、重融合、拓视野”的原则，涵盖以下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大核心模块：</w:t>
      </w:r>
    </w:p>
    <w:p w14:paraId="4E891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（一）模块一：前沿理论与政策</w:t>
      </w:r>
    </w:p>
    <w:p w14:paraId="70A1C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1.国际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免疫规划战略与最新进展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4F019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2.我国</w:t>
      </w:r>
      <w:r>
        <w:rPr>
          <w:rFonts w:hint="default" w:ascii="仿宋" w:hAnsi="仿宋" w:eastAsia="仿宋" w:cs="仿宋"/>
          <w:sz w:val="32"/>
          <w:szCs w:val="32"/>
        </w:rPr>
        <w:t>免疫规划政策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历史</w:t>
      </w:r>
      <w:r>
        <w:rPr>
          <w:rFonts w:hint="default" w:ascii="仿宋" w:hAnsi="仿宋" w:eastAsia="仿宋" w:cs="仿宋"/>
          <w:sz w:val="32"/>
          <w:szCs w:val="32"/>
        </w:rPr>
        <w:t>沿革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策略与国际比较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 w14:paraId="3B372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疫苗可预防疾病的流行病学监测与大数据分析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1945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免疫程序与策略的循证决策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A05C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新疫苗上市后评价与卫生经济学评估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8D41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模块二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sz w:val="32"/>
          <w:szCs w:val="32"/>
        </w:rPr>
        <w:t>科研创新与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成果</w:t>
      </w:r>
      <w:r>
        <w:rPr>
          <w:rFonts w:hint="eastAsia" w:ascii="楷体" w:hAnsi="楷体" w:eastAsia="楷体" w:cs="楷体"/>
          <w:sz w:val="32"/>
          <w:szCs w:val="32"/>
        </w:rPr>
        <w:t>转化</w:t>
      </w:r>
    </w:p>
    <w:p w14:paraId="127E8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.疫苗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临床研究设计（RCT、真实世界研究等）与方法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论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；</w:t>
      </w:r>
    </w:p>
    <w:p w14:paraId="72DBD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实验室技术前沿与转化医学应用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D116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3.大数据和人工智能背景下免疫规划工作创新；</w:t>
      </w:r>
    </w:p>
    <w:p w14:paraId="54BB8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科研基金申请、论文撰写与成果发表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9163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疫苗研发创新路径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 w:cs="仿宋"/>
          <w:sz w:val="32"/>
          <w:szCs w:val="32"/>
        </w:rPr>
        <w:t>知识产权保护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BED3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（三）模块三：应用与融合</w:t>
      </w:r>
    </w:p>
    <w:p w14:paraId="399C0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医防协同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和医防融合</w:t>
      </w:r>
      <w:r>
        <w:rPr>
          <w:rFonts w:hint="eastAsia" w:ascii="仿宋" w:hAnsi="仿宋" w:eastAsia="仿宋" w:cs="仿宋"/>
          <w:sz w:val="32"/>
          <w:szCs w:val="32"/>
        </w:rPr>
        <w:t>机制下的预防接种服务优化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91E7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疑似预防接种异常反应（</w:t>
      </w:r>
      <w:bookmarkStart w:id="1" w:name="OLE_LINK2"/>
      <w:r>
        <w:rPr>
          <w:rFonts w:hint="eastAsia" w:ascii="仿宋" w:hAnsi="仿宋" w:eastAsia="仿宋" w:cs="仿宋"/>
          <w:sz w:val="32"/>
          <w:szCs w:val="32"/>
        </w:rPr>
        <w:t>AEFI</w:t>
      </w:r>
      <w:bookmarkEnd w:id="1"/>
      <w:r>
        <w:rPr>
          <w:rFonts w:hint="eastAsia" w:ascii="仿宋" w:hAnsi="仿宋" w:eastAsia="仿宋" w:cs="仿宋"/>
          <w:sz w:val="32"/>
          <w:szCs w:val="32"/>
        </w:rPr>
        <w:t>）的监测与处置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D348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3.疾控青年</w:t>
      </w:r>
      <w:r>
        <w:rPr>
          <w:rFonts w:hint="eastAsia" w:ascii="仿宋" w:hAnsi="仿宋" w:eastAsia="仿宋" w:cs="仿宋"/>
          <w:sz w:val="32"/>
          <w:szCs w:val="32"/>
        </w:rPr>
        <w:t>领导力建设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与提升；</w:t>
      </w:r>
    </w:p>
    <w:p w14:paraId="64D61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免疫规划项目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设计、管理</w:t>
      </w:r>
      <w:r>
        <w:rPr>
          <w:rFonts w:hint="eastAsia" w:ascii="仿宋" w:hAnsi="仿宋" w:eastAsia="仿宋" w:cs="仿宋"/>
          <w:sz w:val="32"/>
          <w:szCs w:val="32"/>
        </w:rPr>
        <w:t>与评估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143F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突发公共卫生事件中的疫苗应急接种策略与实施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064D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6.公共卫生相关舆情处置与媒体沟通；</w:t>
      </w:r>
    </w:p>
    <w:p w14:paraId="02C45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健康科普与疫苗信心建设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CEB8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六、师资力量</w:t>
      </w:r>
    </w:p>
    <w:p w14:paraId="20A0C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拟邀请</w:t>
      </w:r>
      <w:r>
        <w:rPr>
          <w:rFonts w:hint="eastAsia" w:ascii="仿宋" w:hAnsi="仿宋" w:eastAsia="仿宋" w:cs="仿宋"/>
          <w:sz w:val="32"/>
          <w:szCs w:val="32"/>
        </w:rPr>
        <w:t>国内外顶级专家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线下授课，专家包含：</w:t>
      </w:r>
    </w:p>
    <w:p w14:paraId="0225D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（一）免疫预防专家。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拟</w:t>
      </w:r>
      <w:r>
        <w:rPr>
          <w:rFonts w:hint="eastAsia" w:ascii="仿宋" w:hAnsi="仿宋" w:eastAsia="仿宋" w:cs="仿宋"/>
          <w:sz w:val="32"/>
          <w:szCs w:val="32"/>
        </w:rPr>
        <w:t>邀请中国工程院院士、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中国疾病预防控制中心</w:t>
      </w:r>
      <w:r>
        <w:rPr>
          <w:rFonts w:hint="eastAsia" w:ascii="仿宋" w:hAnsi="仿宋" w:eastAsia="仿宋" w:cs="仿宋"/>
          <w:sz w:val="32"/>
          <w:szCs w:val="32"/>
        </w:rPr>
        <w:t>首席专家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高水平公共卫生学院院长</w:t>
      </w:r>
      <w:r>
        <w:rPr>
          <w:rFonts w:hint="eastAsia" w:ascii="仿宋" w:hAnsi="仿宋" w:eastAsia="仿宋" w:cs="仿宋"/>
          <w:sz w:val="32"/>
          <w:szCs w:val="32"/>
        </w:rPr>
        <w:t>等国内顶级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医学免疫</w:t>
      </w:r>
      <w:r>
        <w:rPr>
          <w:rFonts w:hint="eastAsia" w:ascii="仿宋" w:hAnsi="仿宋" w:eastAsia="仿宋" w:cs="仿宋"/>
          <w:sz w:val="32"/>
          <w:szCs w:val="32"/>
        </w:rPr>
        <w:t>和疫苗学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领域</w:t>
      </w:r>
      <w:r>
        <w:rPr>
          <w:rFonts w:hint="eastAsia" w:ascii="仿宋" w:hAnsi="仿宋" w:eastAsia="仿宋" w:cs="仿宋"/>
          <w:sz w:val="32"/>
          <w:szCs w:val="32"/>
        </w:rPr>
        <w:t>专家。</w:t>
      </w:r>
    </w:p>
    <w:p w14:paraId="6ADC3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（二）流行病学专家。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拟</w:t>
      </w:r>
      <w:r>
        <w:rPr>
          <w:rFonts w:hint="eastAsia" w:ascii="仿宋" w:hAnsi="仿宋" w:eastAsia="仿宋" w:cs="仿宋"/>
          <w:sz w:val="32"/>
          <w:szCs w:val="32"/>
        </w:rPr>
        <w:t>邀请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知名</w:t>
      </w:r>
      <w:r>
        <w:rPr>
          <w:rFonts w:hint="eastAsia" w:ascii="仿宋" w:hAnsi="仿宋" w:eastAsia="仿宋" w:cs="仿宋"/>
          <w:sz w:val="32"/>
          <w:szCs w:val="32"/>
        </w:rPr>
        <w:t>流行病学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卫生统计学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专家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C9E5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（三）医防融合及卫生管理专家。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拟</w:t>
      </w:r>
      <w:r>
        <w:rPr>
          <w:rFonts w:hint="eastAsia" w:ascii="仿宋" w:hAnsi="仿宋" w:eastAsia="仿宋" w:cs="仿宋"/>
          <w:sz w:val="32"/>
          <w:szCs w:val="32"/>
        </w:rPr>
        <w:t>邀请国家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卫生健康</w:t>
      </w:r>
      <w:r>
        <w:rPr>
          <w:rFonts w:hint="eastAsia" w:ascii="仿宋" w:hAnsi="仿宋" w:eastAsia="仿宋" w:cs="仿宋"/>
          <w:sz w:val="32"/>
          <w:szCs w:val="32"/>
        </w:rPr>
        <w:t>委、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国家疾病预防控制</w:t>
      </w:r>
      <w:r>
        <w:rPr>
          <w:rFonts w:hint="eastAsia" w:ascii="仿宋" w:hAnsi="仿宋" w:eastAsia="仿宋" w:cs="仿宋"/>
          <w:sz w:val="32"/>
          <w:szCs w:val="32"/>
        </w:rPr>
        <w:t>局等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公共卫生</w:t>
      </w:r>
      <w:r>
        <w:rPr>
          <w:rFonts w:hint="eastAsia" w:ascii="仿宋" w:hAnsi="仿宋" w:eastAsia="仿宋" w:cs="仿宋"/>
          <w:sz w:val="32"/>
          <w:szCs w:val="32"/>
        </w:rPr>
        <w:t>政策制定者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国家级科技社团专家与</w:t>
      </w:r>
      <w:r>
        <w:rPr>
          <w:rFonts w:hint="eastAsia" w:ascii="仿宋" w:hAnsi="仿宋" w:eastAsia="仿宋" w:cs="仿宋"/>
          <w:sz w:val="32"/>
          <w:szCs w:val="32"/>
        </w:rPr>
        <w:t>大型医院管理专家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DC9C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（四）疫苗监管及生产研发领域专家。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拟邀请国家市场监督管理局、国家药监局等疫苗监管单位专家。国内外大型疫苗生产企业</w:t>
      </w:r>
      <w:r>
        <w:rPr>
          <w:rFonts w:hint="eastAsia" w:ascii="仿宋" w:hAnsi="仿宋" w:eastAsia="仿宋" w:cs="仿宋"/>
          <w:sz w:val="32"/>
          <w:szCs w:val="32"/>
        </w:rPr>
        <w:t>资深研发、生产和质量管理人员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C007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（五）传媒与公共关系专家。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拟</w:t>
      </w:r>
      <w:r>
        <w:rPr>
          <w:rFonts w:hint="eastAsia" w:ascii="仿宋" w:hAnsi="仿宋" w:eastAsia="仿宋" w:cs="仿宋"/>
          <w:sz w:val="32"/>
          <w:szCs w:val="32"/>
        </w:rPr>
        <w:t>邀请资深媒体人、公共关系专家、知名商学院教授及企业家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E2EF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七、托举措施与持续支持</w:t>
      </w:r>
    </w:p>
    <w:p w14:paraId="06122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精品课程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多领域顶级专家线下授课，确保</w:t>
      </w:r>
      <w:r>
        <w:rPr>
          <w:rFonts w:hint="eastAsia" w:ascii="仿宋" w:hAnsi="仿宋" w:eastAsia="仿宋" w:cs="仿宋"/>
          <w:sz w:val="32"/>
          <w:szCs w:val="32"/>
        </w:rPr>
        <w:t>师资的权威性、课程的多元化及知识的前沿性。</w:t>
      </w:r>
    </w:p>
    <w:p w14:paraId="7676D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学术交流平台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推荐优秀学员参加中华预防医学会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举办的全国性会议及其他相关国内外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学术会议并作报告。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推荐</w:t>
      </w:r>
      <w:r>
        <w:rPr>
          <w:rFonts w:hint="eastAsia" w:ascii="仿宋" w:hAnsi="仿宋" w:eastAsia="仿宋" w:cs="仿宋"/>
          <w:sz w:val="32"/>
          <w:szCs w:val="32"/>
        </w:rPr>
        <w:t>纳入学会青年人才库，优先获得学会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>资源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搭建持续交流、合作与成长平台。</w:t>
      </w:r>
    </w:p>
    <w:p w14:paraId="00476F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F0AD5"/>
    <w:rsid w:val="6C7F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2026-05-19T05:16:00Z</dcterms:created>
  <dc:creator>贺彬</dc:creator>
  <cp:lastModifiedBy>贺彬</cp:lastModifiedBy>
  <dcterms:modified xsi:type="dcterms:W3CDTF">2026-05-19T05:17:08Z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410FAE557472412E8BA836EDBC2398F5_11</vt:lpwstr>
  </property>
  <property fmtid="{D5CDD505-2E9C-101B-9397-08002B2CF9AE}" pid="4" name="KSOTemplateDocerSaveRecord">
    <vt:lpwstr>eyJoZGlkIjoiYWE0NjBiMGEwNjkwNGUwNTliODZiZGMzYjJmMWM2MjAiLCJ1c2VySWQiOiIyNDgyOTcyMTcifQ==</vt:lpwstr>
  </property>
</Properties>
</file>